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1F6F8B"/>
          <w:sz w:val="44"/>
        </w:rPr>
        <w:t>Maths Unlocked Sponsorship and Advertising Policy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Version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Version 1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Last updated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19 August 2026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Contact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mathsunlockedwithmrgillin@gmail.com</w:t>
            </w:r>
          </w:p>
        </w:tc>
      </w:tr>
    </w:tbl>
    <w:p/>
    <w:p>
      <w:pPr>
        <w:pStyle w:val="Heading1"/>
      </w:pPr>
      <w:r>
        <w:t>1. Purpose</w:t>
      </w:r>
    </w:p>
    <w:p>
      <w:pPr>
        <w:spacing w:after="100"/>
      </w:pPr>
      <w:r>
        <w:t>Maths Unlocked may use sponsorship to help fund free GCSE maths revision access for pupils.</w:t>
      </w:r>
    </w:p>
    <w:p>
      <w:pPr>
        <w:spacing w:after="100"/>
      </w:pPr>
      <w:r>
        <w:t>This policy explains how sponsor recognition works and what types of advertising are not allowed.</w:t>
      </w:r>
    </w:p>
    <w:p>
      <w:pPr>
        <w:pStyle w:val="Heading1"/>
      </w:pPr>
      <w:r>
        <w:t>2. Our principle</w:t>
      </w:r>
    </w:p>
    <w:p>
      <w:pPr>
        <w:spacing w:after="100"/>
      </w:pPr>
      <w:r>
        <w:t>Learning comes first.</w:t>
      </w:r>
    </w:p>
    <w:p>
      <w:pPr>
        <w:spacing w:after="100"/>
      </w:pPr>
      <w:r>
        <w:t>Sponsors help support access, but they do not control Maths Unlocked’s educational content.</w:t>
      </w:r>
    </w:p>
    <w:p>
      <w:pPr>
        <w:spacing w:after="40"/>
      </w:pPr>
      <w:r>
        <w:rPr>
          <w:b/>
          <w:color w:val="242A2E"/>
        </w:rPr>
        <w:t>Sponsors do not control:</w:t>
      </w:r>
    </w:p>
    <w:p>
      <w:pPr>
        <w:pStyle w:val="ListBullet"/>
        <w:spacing w:after="40"/>
        <w:ind w:left="360"/>
      </w:pPr>
      <w:r>
        <w:t>question design</w:t>
      </w:r>
    </w:p>
    <w:p>
      <w:pPr>
        <w:pStyle w:val="ListBullet"/>
        <w:spacing w:after="40"/>
        <w:ind w:left="360"/>
      </w:pPr>
      <w:r>
        <w:t>answers</w:t>
      </w:r>
    </w:p>
    <w:p>
      <w:pPr>
        <w:pStyle w:val="ListBullet"/>
        <w:spacing w:after="40"/>
        <w:ind w:left="360"/>
      </w:pPr>
      <w:r>
        <w:t>explanations</w:t>
      </w:r>
    </w:p>
    <w:p>
      <w:pPr>
        <w:pStyle w:val="ListBullet"/>
        <w:spacing w:after="40"/>
        <w:ind w:left="360"/>
      </w:pPr>
      <w:r>
        <w:t>marking</w:t>
      </w:r>
    </w:p>
    <w:p>
      <w:pPr>
        <w:pStyle w:val="ListBullet"/>
        <w:spacing w:after="40"/>
        <w:ind w:left="360"/>
      </w:pPr>
      <w:r>
        <w:t>progress tracking</w:t>
      </w:r>
    </w:p>
    <w:p>
      <w:pPr>
        <w:pStyle w:val="ListBullet"/>
        <w:spacing w:after="40"/>
        <w:ind w:left="360"/>
      </w:pPr>
      <w:r>
        <w:t>recommendations</w:t>
      </w:r>
    </w:p>
    <w:p>
      <w:pPr>
        <w:pStyle w:val="ListBullet"/>
        <w:spacing w:after="40"/>
        <w:ind w:left="360"/>
      </w:pPr>
      <w:r>
        <w:t>topic coverage</w:t>
      </w:r>
    </w:p>
    <w:p>
      <w:pPr>
        <w:pStyle w:val="ListBullet"/>
        <w:spacing w:after="40"/>
        <w:ind w:left="360"/>
      </w:pPr>
      <w:r>
        <w:t>student reports</w:t>
      </w:r>
    </w:p>
    <w:p>
      <w:pPr>
        <w:pStyle w:val="Heading1"/>
      </w:pPr>
      <w:r>
        <w:t>3. Where sponsors may appear</w:t>
      </w:r>
    </w:p>
    <w:p>
      <w:pPr>
        <w:spacing w:after="40"/>
      </w:pPr>
      <w:r>
        <w:rPr>
          <w:b/>
          <w:color w:val="242A2E"/>
        </w:rPr>
        <w:t>Sponsors may be recognised in appropriate places, such as:</w:t>
      </w:r>
    </w:p>
    <w:p>
      <w:pPr>
        <w:pStyle w:val="ListBullet"/>
        <w:spacing w:after="40"/>
        <w:ind w:left="360"/>
      </w:pPr>
      <w:r>
        <w:t>the free version landing page</w:t>
      </w:r>
    </w:p>
    <w:p>
      <w:pPr>
        <w:pStyle w:val="ListBullet"/>
        <w:spacing w:after="40"/>
        <w:ind w:left="360"/>
      </w:pPr>
      <w:r>
        <w:t>“Free GCSE revision supported by…” messages</w:t>
      </w:r>
    </w:p>
    <w:p>
      <w:pPr>
        <w:pStyle w:val="ListBullet"/>
        <w:spacing w:after="40"/>
        <w:ind w:left="360"/>
      </w:pPr>
      <w:r>
        <w:t>after Daily 10 completion</w:t>
      </w:r>
    </w:p>
    <w:p>
      <w:pPr>
        <w:pStyle w:val="ListBullet"/>
        <w:spacing w:after="40"/>
        <w:ind w:left="360"/>
      </w:pPr>
      <w:r>
        <w:t>the parent/support page</w:t>
      </w:r>
    </w:p>
    <w:p>
      <w:pPr>
        <w:pStyle w:val="ListBullet"/>
        <w:spacing w:after="40"/>
        <w:ind w:left="360"/>
      </w:pPr>
      <w:r>
        <w:t>a sponsor or supporter page</w:t>
      </w:r>
    </w:p>
    <w:p>
      <w:pPr>
        <w:pStyle w:val="ListBullet"/>
        <w:spacing w:after="40"/>
        <w:ind w:left="360"/>
      </w:pPr>
      <w:r>
        <w:t>Maths Unlocked social media thank-you posts</w:t>
      </w:r>
    </w:p>
    <w:p>
      <w:pPr>
        <w:pStyle w:val="ListBullet"/>
        <w:spacing w:after="40"/>
        <w:ind w:left="360"/>
      </w:pPr>
      <w:r>
        <w:t>monthly impact updates</w:t>
      </w:r>
    </w:p>
    <w:p>
      <w:pPr>
        <w:pStyle w:val="Heading1"/>
      </w:pPr>
      <w:r>
        <w:t>4. What sponsors may receive</w:t>
      </w:r>
    </w:p>
    <w:p>
      <w:pPr>
        <w:spacing w:after="40"/>
      </w:pPr>
      <w:r>
        <w:rPr>
          <w:b/>
          <w:color w:val="242A2E"/>
        </w:rPr>
        <w:t>Founding Sponsors may receive recognition such as:</w:t>
      </w:r>
    </w:p>
    <w:p>
      <w:pPr>
        <w:pStyle w:val="ListBullet"/>
        <w:spacing w:after="40"/>
        <w:ind w:left="360"/>
      </w:pPr>
      <w:r>
        <w:t>business name/logo on the free version landing page</w:t>
      </w:r>
    </w:p>
    <w:p>
      <w:pPr>
        <w:pStyle w:val="ListBullet"/>
        <w:spacing w:after="40"/>
        <w:ind w:left="360"/>
      </w:pPr>
      <w:r>
        <w:t>sponsor recognition linked to free access</w:t>
      </w:r>
    </w:p>
    <w:p>
      <w:pPr>
        <w:pStyle w:val="ListBullet"/>
        <w:spacing w:after="40"/>
        <w:ind w:left="360"/>
      </w:pPr>
      <w:r>
        <w:t>mention after Daily 10 completion</w:t>
      </w:r>
    </w:p>
    <w:p>
      <w:pPr>
        <w:pStyle w:val="ListBullet"/>
        <w:spacing w:after="40"/>
        <w:ind w:left="360"/>
      </w:pPr>
      <w:r>
        <w:t>mention on the parent/support page</w:t>
      </w:r>
    </w:p>
    <w:p>
      <w:pPr>
        <w:pStyle w:val="ListBullet"/>
        <w:spacing w:after="40"/>
        <w:ind w:left="360"/>
      </w:pPr>
      <w:r>
        <w:t>thank-you post on Maths Unlocked socials</w:t>
      </w:r>
    </w:p>
    <w:p>
      <w:pPr>
        <w:pStyle w:val="ListBullet"/>
        <w:spacing w:after="40"/>
        <w:ind w:left="360"/>
      </w:pPr>
      <w:r>
        <w:t>short monthly progress and impact update</w:t>
      </w:r>
    </w:p>
    <w:p>
      <w:pPr>
        <w:pStyle w:val="ListBullet"/>
        <w:spacing w:after="40"/>
        <w:ind w:left="360"/>
      </w:pPr>
      <w:r>
        <w:t>recognition as a founding supporter</w:t>
      </w:r>
    </w:p>
    <w:p>
      <w:pPr>
        <w:spacing w:after="100"/>
      </w:pPr>
      <w:r>
        <w:t>The current Founding Sponsor package is £500 for 6 months.</w:t>
      </w:r>
    </w:p>
    <w:p>
      <w:pPr>
        <w:pStyle w:val="Heading1"/>
      </w:pPr>
      <w:r>
        <w:t>5. What is not allowed</w:t>
      </w:r>
    </w:p>
    <w:p>
      <w:pPr>
        <w:spacing w:after="40"/>
      </w:pPr>
      <w:r>
        <w:rPr>
          <w:b/>
          <w:color w:val="242A2E"/>
        </w:rPr>
        <w:t>Maths Unlocked does not allow:</w:t>
      </w:r>
    </w:p>
    <w:p>
      <w:pPr>
        <w:pStyle w:val="ListBullet"/>
        <w:spacing w:after="40"/>
        <w:ind w:left="360"/>
      </w:pPr>
      <w:r>
        <w:t>adverts inside active quiz questions</w:t>
      </w:r>
    </w:p>
    <w:p>
      <w:pPr>
        <w:pStyle w:val="ListBullet"/>
        <w:spacing w:after="40"/>
        <w:ind w:left="360"/>
      </w:pPr>
      <w:r>
        <w:t>pop-up adverts interrupting learning</w:t>
      </w:r>
    </w:p>
    <w:p>
      <w:pPr>
        <w:pStyle w:val="ListBullet"/>
        <w:spacing w:after="40"/>
        <w:ind w:left="360"/>
      </w:pPr>
      <w:r>
        <w:t>tracking-based advertising to pupils</w:t>
      </w:r>
    </w:p>
    <w:p>
      <w:pPr>
        <w:pStyle w:val="ListBullet"/>
        <w:spacing w:after="40"/>
        <w:ind w:left="360"/>
      </w:pPr>
      <w:r>
        <w:t>misleading advertising</w:t>
      </w:r>
    </w:p>
    <w:p>
      <w:pPr>
        <w:pStyle w:val="ListBullet"/>
        <w:spacing w:after="40"/>
        <w:ind w:left="360"/>
      </w:pPr>
      <w:r>
        <w:t>sponsor influence over educational content</w:t>
      </w:r>
    </w:p>
    <w:p>
      <w:pPr>
        <w:pStyle w:val="ListBullet"/>
        <w:spacing w:after="40"/>
        <w:ind w:left="360"/>
      </w:pPr>
      <w:r>
        <w:t>adverts designed to pressure pupils</w:t>
      </w:r>
    </w:p>
    <w:p>
      <w:pPr>
        <w:pStyle w:val="ListBullet"/>
        <w:spacing w:after="40"/>
        <w:ind w:left="360"/>
      </w:pPr>
      <w:r>
        <w:t>inappropriate or adult content</w:t>
      </w:r>
    </w:p>
    <w:p>
      <w:pPr>
        <w:pStyle w:val="Heading1"/>
      </w:pPr>
      <w:r>
        <w:t>6. Restricted sponsor categories</w:t>
      </w:r>
    </w:p>
    <w:p>
      <w:pPr>
        <w:spacing w:after="40"/>
      </w:pPr>
      <w:r>
        <w:rPr>
          <w:b/>
          <w:color w:val="242A2E"/>
        </w:rPr>
        <w:t>Maths Unlocked will not normally accept sponsorship from businesses or campaigns connected to:</w:t>
      </w:r>
    </w:p>
    <w:p>
      <w:pPr>
        <w:pStyle w:val="ListBullet"/>
        <w:spacing w:after="40"/>
        <w:ind w:left="360"/>
      </w:pPr>
      <w:r>
        <w:t>alcohol</w:t>
      </w:r>
    </w:p>
    <w:p>
      <w:pPr>
        <w:pStyle w:val="ListBullet"/>
        <w:spacing w:after="40"/>
        <w:ind w:left="360"/>
      </w:pPr>
      <w:r>
        <w:t>vaping or nicotine</w:t>
      </w:r>
    </w:p>
    <w:p>
      <w:pPr>
        <w:pStyle w:val="ListBullet"/>
        <w:spacing w:after="40"/>
        <w:ind w:left="360"/>
      </w:pPr>
      <w:r>
        <w:t>gambling</w:t>
      </w:r>
    </w:p>
    <w:p>
      <w:pPr>
        <w:pStyle w:val="ListBullet"/>
        <w:spacing w:after="40"/>
        <w:ind w:left="360"/>
      </w:pPr>
      <w:r>
        <w:t>adult content</w:t>
      </w:r>
    </w:p>
    <w:p>
      <w:pPr>
        <w:pStyle w:val="ListBullet"/>
        <w:spacing w:after="40"/>
        <w:ind w:left="360"/>
      </w:pPr>
      <w:r>
        <w:t>illegal drugs</w:t>
      </w:r>
    </w:p>
    <w:p>
      <w:pPr>
        <w:pStyle w:val="ListBullet"/>
        <w:spacing w:after="40"/>
        <w:ind w:left="360"/>
      </w:pPr>
      <w:r>
        <w:t>high-cost credit or payday loans</w:t>
      </w:r>
    </w:p>
    <w:p>
      <w:pPr>
        <w:pStyle w:val="ListBullet"/>
        <w:spacing w:after="40"/>
        <w:ind w:left="360"/>
      </w:pPr>
      <w:r>
        <w:t>weapons</w:t>
      </w:r>
    </w:p>
    <w:p>
      <w:pPr>
        <w:pStyle w:val="ListBullet"/>
        <w:spacing w:after="40"/>
        <w:ind w:left="360"/>
      </w:pPr>
      <w:r>
        <w:t>political campaigning</w:t>
      </w:r>
    </w:p>
    <w:p>
      <w:pPr>
        <w:pStyle w:val="ListBullet"/>
        <w:spacing w:after="40"/>
        <w:ind w:left="360"/>
      </w:pPr>
      <w:r>
        <w:t>hate, discrimination or extremist content</w:t>
      </w:r>
    </w:p>
    <w:p>
      <w:pPr>
        <w:pStyle w:val="ListBullet"/>
        <w:spacing w:after="40"/>
        <w:ind w:left="360"/>
      </w:pPr>
      <w:r>
        <w:t>anything unsuitable for children or education</w:t>
      </w:r>
    </w:p>
    <w:p>
      <w:pPr>
        <w:spacing w:after="100"/>
      </w:pPr>
      <w:r>
        <w:t>Maths Unlocked may refuse or remove sponsors that do not fit the platform’s educational purpose.</w:t>
      </w:r>
    </w:p>
    <w:p>
      <w:pPr>
        <w:pStyle w:val="Heading1"/>
      </w:pPr>
      <w:r>
        <w:t>7. Pupil data and sponsors</w:t>
      </w:r>
    </w:p>
    <w:p>
      <w:pPr>
        <w:spacing w:after="100"/>
      </w:pPr>
      <w:r>
        <w:t>Sponsors do not receive pupil personal data.</w:t>
      </w:r>
    </w:p>
    <w:p>
      <w:pPr>
        <w:spacing w:after="100"/>
      </w:pPr>
      <w:r>
        <w:t>Sponsors do not receive individual pupil progress information.</w:t>
      </w:r>
    </w:p>
    <w:p>
      <w:pPr>
        <w:spacing w:after="100"/>
      </w:pPr>
      <w:r>
        <w:t>Sponsors do not receive tracking-based advertising profiles of pupils.</w:t>
      </w:r>
    </w:p>
    <w:p>
      <w:pPr>
        <w:pStyle w:val="Heading1"/>
      </w:pPr>
      <w:r>
        <w:t>8. Sponsor links</w:t>
      </w:r>
    </w:p>
    <w:p>
      <w:pPr>
        <w:spacing w:after="100"/>
      </w:pPr>
      <w:r>
        <w:t>Sponsor recognition may include a business name, logo and website link where appropriate.</w:t>
      </w:r>
    </w:p>
    <w:p>
      <w:pPr>
        <w:spacing w:after="100"/>
      </w:pPr>
      <w:r>
        <w:t>Any sponsor links should be suitable for a family and education audience.</w:t>
      </w:r>
    </w:p>
    <w:p>
      <w:pPr>
        <w:pStyle w:val="Heading1"/>
      </w:pPr>
      <w:r>
        <w:t>9. Transparency</w:t>
      </w:r>
    </w:p>
    <w:p>
      <w:pPr>
        <w:spacing w:after="100"/>
      </w:pPr>
      <w:r>
        <w:t>Maths Unlocked will aim to make sponsor recognition clear so users can tell when a business is supporting the free version.</w:t>
      </w:r>
    </w:p>
    <w:p>
      <w:pPr>
        <w:pStyle w:val="Heading1"/>
      </w:pPr>
      <w:r>
        <w:t>10. Changes to this policy</w:t>
      </w:r>
    </w:p>
    <w:p>
      <w:pPr>
        <w:spacing w:after="100"/>
      </w:pPr>
      <w:r>
        <w:t>This policy may be updated as Maths Unlocked develops.</w:t>
      </w:r>
    </w:p>
    <w:p>
      <w:pPr>
        <w:spacing w:after="100"/>
      </w:pPr>
      <w:r>
        <w:t>The latest version will be published on the Maths Unlocked website or app.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Version 1 | Last updated: 19 August 2026 | mathsunlockedwithmrgillin@gmail.com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1F6F8B"/>
        <w:sz w:val="18"/>
      </w:rPr>
      <w:t>Maths Unlocked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4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